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会展经济与管理专业</w:t>
      </w:r>
    </w:p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会展客户关系管理（课程代码</w:t>
      </w:r>
      <w:r>
        <w:rPr>
          <w:rFonts w:ascii="黑体" w:hAnsi="黑体" w:eastAsia="黑体" w:cs="黑体"/>
          <w:b/>
          <w:bCs/>
          <w:sz w:val="28"/>
          <w:szCs w:val="28"/>
        </w:rPr>
        <w:t>08726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</w:t>
      </w:r>
    </w:p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实践环节考核要求和写作格式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一、基本要求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根据教材所学知识，对某会展企业、展会或活动的客户关系管理措施、策略进行调查，了解当前会展企业客户关系管理现状，形成调查报告。</w:t>
      </w:r>
      <w:r>
        <w:rPr>
          <w:rFonts w:hint="eastAsia" w:ascii="宋体" w:hAnsi="宋体" w:cs="宋体"/>
          <w:sz w:val="24"/>
          <w:szCs w:val="24"/>
        </w:rPr>
        <w:t>要求</w:t>
      </w:r>
      <w:r>
        <w:rPr>
          <w:rFonts w:hint="eastAsia" w:ascii="宋体" w:hAnsi="宋体" w:cs="宋体"/>
          <w:color w:val="000000"/>
          <w:sz w:val="24"/>
          <w:szCs w:val="24"/>
        </w:rPr>
        <w:t>观点明确，</w:t>
      </w:r>
      <w:r>
        <w:fldChar w:fldCharType="begin"/>
      </w:r>
      <w:r>
        <w:instrText xml:space="preserve"> HYPERLINK "http://zhidao.baidu.com/search?word=%C2%DB%BE%DD&amp;fr=qb_search_exp&amp;ie=gbk" \t "_blank" </w:instrText>
      </w:r>
      <w:r>
        <w:fldChar w:fldCharType="separate"/>
      </w:r>
      <w:r>
        <w:rPr>
          <w:rFonts w:hint="eastAsia" w:ascii="宋体" w:hAnsi="宋体" w:cs="宋体"/>
          <w:color w:val="000000"/>
          <w:sz w:val="24"/>
          <w:szCs w:val="24"/>
        </w:rPr>
        <w:t>论据</w:t>
      </w:r>
      <w:r>
        <w:rPr>
          <w:rFonts w:hint="eastAsia" w:ascii="宋体" w:hAnsi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sz w:val="24"/>
          <w:szCs w:val="24"/>
        </w:rPr>
        <w:t>详实，条理清楚，文字简练，格式规范，具有针对性和创新性，</w:t>
      </w:r>
      <w:r>
        <w:rPr>
          <w:rFonts w:hint="eastAsia" w:ascii="宋体" w:hAnsi="宋体" w:cs="宋体"/>
          <w:sz w:val="24"/>
          <w:szCs w:val="24"/>
        </w:rPr>
        <w:t>正文字数不少于</w:t>
      </w:r>
      <w:r>
        <w:rPr>
          <w:rFonts w:ascii="宋体" w:hAnsi="宋体" w:cs="宋体"/>
          <w:sz w:val="24"/>
          <w:szCs w:val="24"/>
        </w:rPr>
        <w:t>3000</w:t>
      </w:r>
      <w:r>
        <w:rPr>
          <w:rFonts w:hint="eastAsia" w:ascii="宋体" w:hAnsi="宋体" w:cs="宋体"/>
          <w:sz w:val="24"/>
          <w:szCs w:val="24"/>
        </w:rPr>
        <w:t>字。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注：为了突出实践报告的针对性和创新性，《会展客户关系管理实施方案写作方法》中所涉及的内容仅供参考，</w:t>
      </w:r>
      <w:r>
        <w:rPr>
          <w:rFonts w:hint="eastAsia" w:ascii="宋体" w:hAnsi="宋体" w:cs="宋体"/>
          <w:sz w:val="24"/>
          <w:szCs w:val="24"/>
        </w:rPr>
        <w:t>严禁照搬照抄，一旦发现，按不及格处理。</w:t>
      </w:r>
    </w:p>
    <w:p>
      <w:pPr>
        <w:pStyle w:val="10"/>
        <w:spacing w:line="360" w:lineRule="auto"/>
        <w:ind w:firstLine="31680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hint="eastAsia" w:ascii="黑体" w:hAnsi="黑体" w:eastAsia="黑体" w:cs="黑体"/>
          <w:kern w:val="0"/>
          <w:sz w:val="28"/>
          <w:szCs w:val="28"/>
        </w:rPr>
        <w:t>结构体系</w:t>
      </w:r>
    </w:p>
    <w:p>
      <w:pPr>
        <w:spacing w:line="360" w:lineRule="auto"/>
        <w:ind w:firstLine="420"/>
        <w:rPr>
          <w:rFonts w:ascii="黑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（一）封面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必须按照给定模板的内容和格式填写。</w:t>
      </w:r>
    </w:p>
    <w:p>
      <w:pPr>
        <w:spacing w:line="360" w:lineRule="auto"/>
        <w:ind w:firstLine="420"/>
        <w:rPr>
          <w:rFonts w:ascii="黑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（二）正文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正文内容一般包括以下四个部分，字数建议如下，可以在此基础上根据实际情况进行适当调整。</w:t>
      </w:r>
    </w:p>
    <w:p>
      <w:pPr>
        <w:pStyle w:val="11"/>
        <w:spacing w:line="360" w:lineRule="auto"/>
        <w:ind w:firstLine="31680"/>
        <w:rPr>
          <w:rFonts w:ascii="宋体" w:cs="Times New Roman"/>
          <w:color w:val="333333"/>
          <w:sz w:val="24"/>
          <w:szCs w:val="24"/>
          <w:shd w:val="clear" w:color="auto" w:fill="FFFFFF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会展企业或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展会（活动）概况（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300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字）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会展企业或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展会（活动）</w:t>
      </w:r>
      <w:r>
        <w:rPr>
          <w:rFonts w:hint="eastAsia" w:ascii="宋体" w:hAnsi="宋体" w:cs="宋体"/>
          <w:sz w:val="24"/>
          <w:szCs w:val="24"/>
        </w:rPr>
        <w:t>客户分析（</w:t>
      </w:r>
      <w:r>
        <w:rPr>
          <w:rFonts w:ascii="宋体" w:hAnsi="宋体" w:cs="宋体"/>
          <w:sz w:val="24"/>
          <w:szCs w:val="24"/>
        </w:rPr>
        <w:t>300</w:t>
      </w:r>
      <w:r>
        <w:rPr>
          <w:rFonts w:hint="eastAsia" w:ascii="宋体" w:hAnsi="宋体" w:cs="宋体"/>
          <w:sz w:val="24"/>
          <w:szCs w:val="24"/>
        </w:rPr>
        <w:t>字）</w:t>
      </w:r>
    </w:p>
    <w:p>
      <w:pPr>
        <w:adjustRightInd w:val="0"/>
        <w:snapToGrid w:val="0"/>
        <w:spacing w:line="360" w:lineRule="auto"/>
        <w:ind w:left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会展企业或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展会（活动）</w:t>
      </w:r>
      <w:r>
        <w:rPr>
          <w:rFonts w:hint="eastAsia" w:ascii="宋体" w:hAnsi="宋体" w:cs="宋体"/>
          <w:sz w:val="24"/>
          <w:szCs w:val="24"/>
        </w:rPr>
        <w:t>客户关系管理策略（</w:t>
      </w:r>
      <w:r>
        <w:rPr>
          <w:rFonts w:ascii="宋体" w:hAnsi="宋体" w:cs="宋体"/>
          <w:sz w:val="24"/>
          <w:szCs w:val="24"/>
        </w:rPr>
        <w:t>1600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会展企业或</w:t>
      </w:r>
      <w:r>
        <w:rPr>
          <w:rFonts w:hint="eastAsia" w:ascii="宋体" w:hAnsi="宋体" w:cs="宋体"/>
          <w:sz w:val="24"/>
          <w:szCs w:val="24"/>
        </w:rPr>
        <w:t>××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展会（活动）</w:t>
      </w:r>
      <w:r>
        <w:rPr>
          <w:rFonts w:hint="eastAsia" w:ascii="宋体" w:hAnsi="宋体" w:cs="宋体"/>
          <w:sz w:val="24"/>
          <w:szCs w:val="24"/>
        </w:rPr>
        <w:t>客户关系管理软件系统（</w:t>
      </w:r>
      <w:r>
        <w:rPr>
          <w:rFonts w:ascii="宋体" w:hAnsi="宋体" w:cs="宋体"/>
          <w:sz w:val="24"/>
          <w:szCs w:val="24"/>
        </w:rPr>
        <w:t>800</w:t>
      </w:r>
      <w:r>
        <w:rPr>
          <w:rFonts w:hint="eastAsia" w:ascii="宋体" w:hAnsi="宋体" w:cs="宋体"/>
          <w:sz w:val="24"/>
          <w:szCs w:val="24"/>
        </w:rPr>
        <w:t>字）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（三）封底</w:t>
      </w:r>
    </w:p>
    <w:p>
      <w:pPr>
        <w:spacing w:line="360" w:lineRule="auto"/>
        <w:ind w:firstLine="420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cs="宋体"/>
          <w:color w:val="000000"/>
          <w:sz w:val="24"/>
          <w:szCs w:val="24"/>
        </w:rPr>
        <w:t>必须按照给定模板的内容和格式填写。</w:t>
      </w:r>
    </w:p>
    <w:p>
      <w:pPr>
        <w:pStyle w:val="10"/>
        <w:spacing w:line="360" w:lineRule="auto"/>
        <w:ind w:firstLine="31680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三、格式要求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（一）正文格式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．题目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题目为三号黑体，居中。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正文的各级标题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一级标题“一、”，四号黑体，独占行，缩进两字后左起，末尾不加标点，段前段后</w:t>
      </w:r>
      <w:r>
        <w:rPr>
          <w:rFonts w:ascii="宋体" w:hAnsi="宋体" w:cs="宋体"/>
          <w:color w:val="000000"/>
          <w:sz w:val="24"/>
          <w:szCs w:val="24"/>
        </w:rPr>
        <w:t>0.5</w:t>
      </w:r>
      <w:r>
        <w:rPr>
          <w:rFonts w:hint="eastAsia" w:ascii="宋体" w:hAnsi="宋体" w:cs="宋体"/>
          <w:color w:val="000000"/>
          <w:sz w:val="24"/>
          <w:szCs w:val="24"/>
        </w:rPr>
        <w:t>行，单倍行距。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二级标题“（一）”，小四号黑体，独占行，缩进两字后左起，末尾不加标点，段前段后</w:t>
      </w:r>
      <w:r>
        <w:rPr>
          <w:rFonts w:ascii="宋体" w:hAnsi="宋体" w:cs="宋体"/>
          <w:color w:val="000000"/>
          <w:sz w:val="24"/>
          <w:szCs w:val="24"/>
        </w:rPr>
        <w:t>0.5</w:t>
      </w:r>
      <w:r>
        <w:rPr>
          <w:rFonts w:hint="eastAsia" w:ascii="宋体" w:hAnsi="宋体" w:cs="宋体"/>
          <w:color w:val="000000"/>
          <w:sz w:val="24"/>
          <w:szCs w:val="24"/>
        </w:rPr>
        <w:t>行，单倍行距。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三级以下标题“</w:t>
      </w:r>
      <w:r>
        <w:rPr>
          <w:rFonts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”、“（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）”、“①”等，与正文字体字号（小四号宋体）相同，缩进两字后左起，段前段后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1.25</w:t>
      </w:r>
      <w:r>
        <w:rPr>
          <w:rFonts w:hint="eastAsia" w:ascii="宋体" w:hAnsi="宋体" w:cs="宋体"/>
          <w:color w:val="000000"/>
          <w:sz w:val="24"/>
          <w:szCs w:val="24"/>
        </w:rPr>
        <w:t>倍行距。三四级标题可以根据标题的长短确定是否独占行，若独占行，则末尾不加标点；若不独占行，标题后需要加句号，然后接排。四级以下标题必须接排，不得独占行。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正文内容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正文小四号宋体，两端对齐，段落首行缩进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字左起，段前段后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hint="eastAsia" w:ascii="宋体" w:hAnsi="宋体" w:cs="宋体"/>
          <w:color w:val="000000"/>
          <w:sz w:val="24"/>
          <w:szCs w:val="24"/>
        </w:rPr>
        <w:t>、</w:t>
      </w:r>
      <w:r>
        <w:rPr>
          <w:rFonts w:ascii="宋体" w:hAnsi="宋体" w:cs="宋体"/>
          <w:color w:val="000000"/>
          <w:sz w:val="24"/>
          <w:szCs w:val="24"/>
        </w:rPr>
        <w:t>1.25</w:t>
      </w:r>
      <w:r>
        <w:rPr>
          <w:rFonts w:hint="eastAsia" w:ascii="宋体" w:hAnsi="宋体" w:cs="宋体"/>
          <w:color w:val="000000"/>
          <w:sz w:val="24"/>
          <w:szCs w:val="24"/>
        </w:rPr>
        <w:t>倍行距。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（二）页面设置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页面采用</w:t>
      </w:r>
      <w:r>
        <w:rPr>
          <w:rFonts w:ascii="宋体" w:hAnsi="宋体" w:cs="宋体"/>
          <w:color w:val="000000"/>
          <w:sz w:val="24"/>
          <w:szCs w:val="24"/>
        </w:rPr>
        <w:t>A4</w:t>
      </w:r>
      <w:r>
        <w:rPr>
          <w:rFonts w:hint="eastAsia" w:ascii="宋体" w:hAnsi="宋体" w:cs="宋体"/>
          <w:color w:val="000000"/>
          <w:sz w:val="24"/>
          <w:szCs w:val="24"/>
        </w:rPr>
        <w:t>纸型。页边距：上边距为</w:t>
      </w:r>
      <w:r>
        <w:rPr>
          <w:rFonts w:ascii="宋体" w:hAnsi="宋体" w:cs="宋体"/>
          <w:color w:val="000000"/>
          <w:sz w:val="24"/>
          <w:szCs w:val="24"/>
        </w:rPr>
        <w:t>2.5</w:t>
      </w:r>
      <w:r>
        <w:rPr>
          <w:rFonts w:hint="eastAsia" w:ascii="宋体" w:hAnsi="宋体" w:cs="宋体"/>
          <w:color w:val="000000"/>
          <w:sz w:val="24"/>
          <w:szCs w:val="24"/>
        </w:rPr>
        <w:t>厘米，下边距为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厘米，左边距为</w:t>
      </w:r>
      <w:r>
        <w:rPr>
          <w:rFonts w:ascii="宋体" w:hAnsi="宋体" w:cs="宋体"/>
          <w:color w:val="000000"/>
          <w:sz w:val="24"/>
          <w:szCs w:val="24"/>
        </w:rPr>
        <w:t>2.5</w:t>
      </w:r>
      <w:r>
        <w:rPr>
          <w:rFonts w:hint="eastAsia" w:ascii="宋体" w:hAnsi="宋体" w:cs="宋体"/>
          <w:color w:val="000000"/>
          <w:sz w:val="24"/>
          <w:szCs w:val="24"/>
        </w:rPr>
        <w:t>厘米，右边距为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厘米。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（三）页码设置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页码设置在页脚处，居中放置，页码编号从正文开始。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（四）图的格式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图按顺序编号，如图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为第一个图，图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为第二个图；图题位于图的下面一行，以图为基准居中对齐；图中内容字体为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sz w:val="24"/>
          <w:szCs w:val="24"/>
        </w:rPr>
        <w:t>号宋体，图题中的英文字体为小四号</w:t>
      </w:r>
      <w:r>
        <w:rPr>
          <w:rFonts w:ascii="宋体" w:hAnsi="宋体" w:cs="宋体"/>
          <w:color w:val="000000"/>
          <w:sz w:val="24"/>
          <w:szCs w:val="24"/>
        </w:rPr>
        <w:t>Arial</w:t>
      </w:r>
      <w:r>
        <w:rPr>
          <w:rFonts w:hint="eastAsia" w:ascii="宋体" w:hAnsi="宋体" w:cs="宋体"/>
          <w:color w:val="000000"/>
          <w:sz w:val="24"/>
          <w:szCs w:val="24"/>
        </w:rPr>
        <w:t>字体，中文字体为小四号楷体。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（五）表格格式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表格按顺序编号，如表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为第一个表格，表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为第二个表格；表格应有标题，表格内应按规定的符号注明单位；标题位于表格的上面一行，以表格为基准居中对齐；表格中内容字体为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sz w:val="24"/>
          <w:szCs w:val="24"/>
        </w:rPr>
        <w:t>号宋体，标题中的英文字体为小四号</w:t>
      </w:r>
      <w:r>
        <w:rPr>
          <w:rFonts w:ascii="宋体" w:hAnsi="宋体" w:cs="宋体"/>
          <w:color w:val="000000"/>
          <w:sz w:val="24"/>
          <w:szCs w:val="24"/>
        </w:rPr>
        <w:t>Arial</w:t>
      </w:r>
      <w:r>
        <w:rPr>
          <w:rFonts w:hint="eastAsia" w:ascii="宋体" w:hAnsi="宋体" w:cs="宋体"/>
          <w:color w:val="000000"/>
          <w:sz w:val="24"/>
          <w:szCs w:val="24"/>
        </w:rPr>
        <w:t>字体，中文字体为小四号楷体。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（六）公式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公式必须单独起行，需要时可为公式编号，以便于说明和引用。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（七）打印装订要求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A4</w:t>
      </w:r>
      <w:r>
        <w:rPr>
          <w:rFonts w:hint="eastAsia" w:ascii="宋体" w:hAnsi="宋体" w:cs="宋体"/>
          <w:color w:val="000000"/>
          <w:sz w:val="24"/>
          <w:szCs w:val="24"/>
        </w:rPr>
        <w:t>纸单面打印，左边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两个钉子</w:t>
      </w:r>
      <w:r>
        <w:rPr>
          <w:rFonts w:hint="eastAsia" w:ascii="宋体" w:hAnsi="宋体" w:cs="宋体"/>
          <w:color w:val="000000"/>
          <w:sz w:val="24"/>
          <w:szCs w:val="24"/>
        </w:rPr>
        <w:t>装订。</w:t>
      </w:r>
    </w:p>
    <w:p>
      <w:pPr>
        <w:pStyle w:val="10"/>
        <w:spacing w:line="360" w:lineRule="auto"/>
        <w:ind w:firstLine="31680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四、考核标准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（一）写作态度是否认真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（二）结构是否完整，条理是否清晰，重点是否突出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（三）调查是否具有一定的广度和深度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（四）语言是否流畅，有无错别字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（五）写作格式是否规范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（六）有抄袭现象，按不及格处理</w:t>
      </w:r>
    </w:p>
    <w:p>
      <w:pPr>
        <w:spacing w:line="360" w:lineRule="auto"/>
        <w:ind w:firstLine="420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</w:rPr>
        <w:t>（七）字数是否达到要求</w:t>
      </w:r>
    </w:p>
    <w:p>
      <w:pPr>
        <w:pStyle w:val="10"/>
        <w:spacing w:line="360" w:lineRule="auto"/>
        <w:ind w:firstLine="31680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五、考核成绩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考核成绩为百分制，成绩由评阅教师按照考核指标给出。不合格率不低于</w:t>
      </w:r>
      <w:r>
        <w:rPr>
          <w:rFonts w:ascii="宋体" w:hAnsi="宋体" w:cs="宋体"/>
          <w:color w:val="000000"/>
          <w:sz w:val="24"/>
          <w:szCs w:val="24"/>
        </w:rPr>
        <w:t>10%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pStyle w:val="10"/>
        <w:spacing w:line="360" w:lineRule="auto"/>
        <w:ind w:firstLine="31680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六、封面封底格式</w:t>
      </w:r>
    </w:p>
    <w:p>
      <w:pPr>
        <w:pStyle w:val="10"/>
        <w:spacing w:line="300" w:lineRule="auto"/>
        <w:ind w:firstLine="31680"/>
        <w:rPr>
          <w:rFonts w:ascii="Arial" w:hAnsi="Arial" w:cs="Arial"/>
          <w:kern w:val="0"/>
          <w:sz w:val="24"/>
          <w:szCs w:val="24"/>
        </w:rPr>
      </w:pPr>
      <w:r>
        <w:rPr>
          <w:rFonts w:hint="eastAsia" w:ascii="Arial" w:hAnsi="Arial" w:cs="宋体"/>
          <w:kern w:val="0"/>
          <w:sz w:val="24"/>
          <w:szCs w:val="24"/>
        </w:rPr>
        <w:t>后附封面封底格式（统一模板要求）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ind w:firstLine="420"/>
        <w:rPr>
          <w:rFonts w:ascii="宋体"/>
          <w:color w:val="000000"/>
          <w:sz w:val="24"/>
          <w:szCs w:val="24"/>
        </w:rPr>
      </w:pPr>
    </w:p>
    <w:p>
      <w:pPr>
        <w:spacing w:line="300" w:lineRule="auto"/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2"/>
          <w:szCs w:val="22"/>
        </w:rPr>
        <w:sectPr>
          <w:footerReference r:id="rId3" w:type="default"/>
          <w:pgSz w:w="11906" w:h="16838"/>
          <w:pgMar w:top="1440" w:right="1417" w:bottom="1440" w:left="1417" w:header="851" w:footer="992" w:gutter="0"/>
          <w:pgNumType w:start="1"/>
          <w:cols w:space="0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sz w:val="22"/>
          <w:szCs w:val="2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高等教育自学考试本科</w:t>
      </w: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会展客户关系管理实施方案</w:t>
      </w: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rPr>
          <w:rFonts w:ascii="宋体"/>
          <w:sz w:val="44"/>
          <w:szCs w:val="44"/>
        </w:rPr>
      </w:pPr>
    </w:p>
    <w:p>
      <w:pPr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题</w:t>
      </w:r>
      <w:r>
        <w:rPr>
          <w:rFonts w:ascii="黑体" w:hAnsi="黑体" w:eastAsia="黑体" w:cs="黑体"/>
          <w:sz w:val="36"/>
          <w:szCs w:val="36"/>
        </w:rPr>
        <w:t xml:space="preserve">    </w:t>
      </w:r>
      <w:r>
        <w:rPr>
          <w:rFonts w:hint="eastAsia" w:ascii="黑体" w:hAnsi="黑体" w:eastAsia="黑体" w:cs="黑体"/>
          <w:sz w:val="36"/>
          <w:szCs w:val="36"/>
        </w:rPr>
        <w:t>目：</w:t>
      </w:r>
    </w:p>
    <w:p>
      <w:pPr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准考证号：</w:t>
      </w:r>
    </w:p>
    <w:p>
      <w:pPr>
        <w:ind w:firstLine="1620" w:firstLineChars="450"/>
        <w:rPr>
          <w:rFonts w:ascii="宋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姓</w:t>
      </w:r>
      <w:r>
        <w:rPr>
          <w:rFonts w:ascii="黑体" w:hAnsi="黑体" w:eastAsia="黑体" w:cs="黑体"/>
          <w:sz w:val="36"/>
          <w:szCs w:val="36"/>
        </w:rPr>
        <w:t xml:space="preserve">    </w:t>
      </w:r>
      <w:r>
        <w:rPr>
          <w:rFonts w:hint="eastAsia" w:ascii="黑体" w:hAnsi="黑体" w:eastAsia="黑体" w:cs="黑体"/>
          <w:sz w:val="36"/>
          <w:szCs w:val="36"/>
        </w:rPr>
        <w:t>名：</w:t>
      </w: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ind w:firstLine="990" w:firstLineChars="450"/>
        <w:rPr>
          <w:rFonts w:ascii="宋体"/>
          <w:sz w:val="22"/>
          <w:szCs w:val="22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 w:cs="黑体"/>
          <w:sz w:val="36"/>
          <w:szCs w:val="36"/>
          <w:lang w:val="en-US" w:eastAsia="zh-CN"/>
        </w:rPr>
        <w:t>济南大学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 w:cs="黑体"/>
          <w:sz w:val="36"/>
          <w:szCs w:val="36"/>
        </w:rPr>
        <w:t>年</w:t>
      </w:r>
      <w:r>
        <w:rPr>
          <w:rFonts w:ascii="黑体" w:hAnsi="宋体" w:eastAsia="黑体" w:cs="黑体"/>
          <w:sz w:val="36"/>
          <w:szCs w:val="36"/>
        </w:rPr>
        <w:t xml:space="preserve">   </w:t>
      </w:r>
      <w:r>
        <w:rPr>
          <w:rFonts w:hint="eastAsia" w:ascii="黑体" w:hAnsi="宋体" w:eastAsia="黑体" w:cs="黑体"/>
          <w:sz w:val="36"/>
          <w:szCs w:val="36"/>
        </w:rPr>
        <w:t>月</w:t>
      </w:r>
      <w:r>
        <w:rPr>
          <w:rFonts w:ascii="黑体" w:hAnsi="宋体" w:eastAsia="黑体" w:cs="黑体"/>
          <w:sz w:val="36"/>
          <w:szCs w:val="36"/>
        </w:rPr>
        <w:t xml:space="preserve">   </w:t>
      </w:r>
      <w:r>
        <w:rPr>
          <w:rFonts w:hint="eastAsia" w:ascii="黑体" w:hAnsi="宋体" w:eastAsia="黑体" w:cs="黑体"/>
          <w:sz w:val="36"/>
          <w:szCs w:val="36"/>
        </w:rPr>
        <w:t>日</w:t>
      </w:r>
    </w:p>
    <w:tbl>
      <w:tblPr>
        <w:tblStyle w:val="5"/>
        <w:tblW w:w="8925" w:type="dxa"/>
        <w:tblInd w:w="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36" w:hRule="atLeast"/>
        </w:trPr>
        <w:tc>
          <w:tcPr>
            <w:tcW w:w="8925" w:type="dxa"/>
          </w:tcPr>
          <w:p>
            <w:pPr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sz w:val="36"/>
                <w:szCs w:val="36"/>
              </w:rPr>
              <w:t>评语：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7" w:hRule="atLeast"/>
        </w:trPr>
        <w:tc>
          <w:tcPr>
            <w:tcW w:w="8925" w:type="dxa"/>
          </w:tcPr>
          <w:p>
            <w:pPr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sz w:val="36"/>
                <w:szCs w:val="36"/>
              </w:rPr>
              <w:t>成绩：</w:t>
            </w: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ind w:firstLine="4160" w:firstLineChars="1300"/>
              <w:rPr>
                <w:rFonts w:ascii="宋体"/>
                <w:sz w:val="32"/>
                <w:szCs w:val="32"/>
              </w:rPr>
            </w:pPr>
          </w:p>
          <w:p>
            <w:pPr>
              <w:ind w:firstLine="5440" w:firstLineChars="1700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ind w:firstLine="5760" w:firstLineChars="18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教师签字：</w:t>
            </w: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ascii="黑体" w:hAnsi="黑体" w:eastAsia="黑体" w:cs="黑体"/>
                <w:sz w:val="32"/>
                <w:szCs w:val="32"/>
              </w:rPr>
              <w:t xml:space="preserve">                                        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年</w:t>
            </w:r>
            <w:r>
              <w:rPr>
                <w:rFonts w:ascii="黑体" w:hAnsi="黑体" w:eastAsia="黑体" w:cs="黑体"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月</w:t>
            </w:r>
            <w:r>
              <w:rPr>
                <w:rFonts w:ascii="黑体" w:hAnsi="黑体" w:eastAsia="黑体" w:cs="黑体"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日</w:t>
            </w:r>
          </w:p>
        </w:tc>
      </w:tr>
    </w:tbl>
    <w:p/>
    <w:sectPr>
      <w:footerReference r:id="rId4" w:type="default"/>
      <w:pgSz w:w="11906" w:h="16838"/>
      <w:pgMar w:top="1440" w:right="1417" w:bottom="1440" w:left="1417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VkYjlkMTM4ZTk5MTY0MmFiOTE4ZDljNWRmZmQ5NTMifQ=="/>
  </w:docVars>
  <w:rsids>
    <w:rsidRoot w:val="00172A27"/>
    <w:rsid w:val="00012ECC"/>
    <w:rsid w:val="00032A1D"/>
    <w:rsid w:val="0009598E"/>
    <w:rsid w:val="000E6B8B"/>
    <w:rsid w:val="000F0EB0"/>
    <w:rsid w:val="000F7857"/>
    <w:rsid w:val="00116746"/>
    <w:rsid w:val="00133907"/>
    <w:rsid w:val="00172A27"/>
    <w:rsid w:val="0017794D"/>
    <w:rsid w:val="001C483C"/>
    <w:rsid w:val="002211E2"/>
    <w:rsid w:val="00236F91"/>
    <w:rsid w:val="00265BAD"/>
    <w:rsid w:val="00291FA6"/>
    <w:rsid w:val="002B37C9"/>
    <w:rsid w:val="002B39E2"/>
    <w:rsid w:val="002C5560"/>
    <w:rsid w:val="002D1D61"/>
    <w:rsid w:val="002F2F68"/>
    <w:rsid w:val="00306543"/>
    <w:rsid w:val="00327CAE"/>
    <w:rsid w:val="003313A3"/>
    <w:rsid w:val="00334B92"/>
    <w:rsid w:val="0038016B"/>
    <w:rsid w:val="00384AFD"/>
    <w:rsid w:val="003C3FF5"/>
    <w:rsid w:val="00413E9B"/>
    <w:rsid w:val="00483AB8"/>
    <w:rsid w:val="004B3101"/>
    <w:rsid w:val="004C2DD9"/>
    <w:rsid w:val="004C3CF5"/>
    <w:rsid w:val="004E3D12"/>
    <w:rsid w:val="005106BE"/>
    <w:rsid w:val="00522D5F"/>
    <w:rsid w:val="00566D4A"/>
    <w:rsid w:val="005C146F"/>
    <w:rsid w:val="005F47F6"/>
    <w:rsid w:val="005F7A80"/>
    <w:rsid w:val="005F7C2E"/>
    <w:rsid w:val="00600519"/>
    <w:rsid w:val="006058CF"/>
    <w:rsid w:val="006F0C37"/>
    <w:rsid w:val="00700953"/>
    <w:rsid w:val="007033B6"/>
    <w:rsid w:val="0074609B"/>
    <w:rsid w:val="00753247"/>
    <w:rsid w:val="00761ECF"/>
    <w:rsid w:val="007F5514"/>
    <w:rsid w:val="007F5970"/>
    <w:rsid w:val="00816C9A"/>
    <w:rsid w:val="008352F1"/>
    <w:rsid w:val="0084071B"/>
    <w:rsid w:val="00857E06"/>
    <w:rsid w:val="00860514"/>
    <w:rsid w:val="00876CAB"/>
    <w:rsid w:val="00885FF6"/>
    <w:rsid w:val="0088798A"/>
    <w:rsid w:val="00894000"/>
    <w:rsid w:val="008C7EDF"/>
    <w:rsid w:val="008D189F"/>
    <w:rsid w:val="008D30D4"/>
    <w:rsid w:val="008F0F2C"/>
    <w:rsid w:val="00906F51"/>
    <w:rsid w:val="00917E33"/>
    <w:rsid w:val="00922CA8"/>
    <w:rsid w:val="00925427"/>
    <w:rsid w:val="0094510E"/>
    <w:rsid w:val="009519AA"/>
    <w:rsid w:val="00974281"/>
    <w:rsid w:val="00990489"/>
    <w:rsid w:val="0099623B"/>
    <w:rsid w:val="009A5A85"/>
    <w:rsid w:val="009B55E5"/>
    <w:rsid w:val="009C32C5"/>
    <w:rsid w:val="009D2BFC"/>
    <w:rsid w:val="009F71F5"/>
    <w:rsid w:val="00A024CA"/>
    <w:rsid w:val="00A71AFA"/>
    <w:rsid w:val="00A746E3"/>
    <w:rsid w:val="00A766C1"/>
    <w:rsid w:val="00A90A7C"/>
    <w:rsid w:val="00AA480C"/>
    <w:rsid w:val="00AB4878"/>
    <w:rsid w:val="00AE7393"/>
    <w:rsid w:val="00AF41F2"/>
    <w:rsid w:val="00B22B90"/>
    <w:rsid w:val="00BB1469"/>
    <w:rsid w:val="00BB3CF2"/>
    <w:rsid w:val="00BD6F48"/>
    <w:rsid w:val="00BE32D3"/>
    <w:rsid w:val="00BE509D"/>
    <w:rsid w:val="00BF218C"/>
    <w:rsid w:val="00C05D07"/>
    <w:rsid w:val="00C1566B"/>
    <w:rsid w:val="00C179C1"/>
    <w:rsid w:val="00C47C4E"/>
    <w:rsid w:val="00C501BF"/>
    <w:rsid w:val="00C64A67"/>
    <w:rsid w:val="00C80212"/>
    <w:rsid w:val="00C8211D"/>
    <w:rsid w:val="00C83F54"/>
    <w:rsid w:val="00CA3091"/>
    <w:rsid w:val="00CE677A"/>
    <w:rsid w:val="00D006F1"/>
    <w:rsid w:val="00D33B2C"/>
    <w:rsid w:val="00D92568"/>
    <w:rsid w:val="00DA4DF9"/>
    <w:rsid w:val="00DA6D3F"/>
    <w:rsid w:val="00DB4B49"/>
    <w:rsid w:val="00DE3D71"/>
    <w:rsid w:val="00DF6589"/>
    <w:rsid w:val="00E5166B"/>
    <w:rsid w:val="00E6157C"/>
    <w:rsid w:val="00E6655C"/>
    <w:rsid w:val="00E66FD7"/>
    <w:rsid w:val="00E9381D"/>
    <w:rsid w:val="00E95CBC"/>
    <w:rsid w:val="00EA7D34"/>
    <w:rsid w:val="00ED1BE3"/>
    <w:rsid w:val="00EF1CBE"/>
    <w:rsid w:val="00F123AB"/>
    <w:rsid w:val="00F1470D"/>
    <w:rsid w:val="00F47B82"/>
    <w:rsid w:val="00F8424D"/>
    <w:rsid w:val="00FA0360"/>
    <w:rsid w:val="00FA42F4"/>
    <w:rsid w:val="00FC2A34"/>
    <w:rsid w:val="00FC3A98"/>
    <w:rsid w:val="00FD55E9"/>
    <w:rsid w:val="00FE77E1"/>
    <w:rsid w:val="0BA352AE"/>
    <w:rsid w:val="0CED4443"/>
    <w:rsid w:val="26BE28C7"/>
    <w:rsid w:val="282E33E8"/>
    <w:rsid w:val="3D670351"/>
    <w:rsid w:val="40BA0978"/>
    <w:rsid w:val="488C04DA"/>
    <w:rsid w:val="5B806546"/>
    <w:rsid w:val="5E3C047C"/>
    <w:rsid w:val="603F5678"/>
    <w:rsid w:val="68C7320D"/>
    <w:rsid w:val="6B2C3FB7"/>
    <w:rsid w:val="6DFA1582"/>
    <w:rsid w:val="70E030DA"/>
    <w:rsid w:val="70EE273D"/>
    <w:rsid w:val="76B37E95"/>
    <w:rsid w:val="7FF1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99"/>
    <w:rPr>
      <w:rFonts w:ascii="宋体" w:hAnsi="Courier New" w:cs="宋体"/>
      <w:kern w:val="0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Plain Text Char"/>
    <w:basedOn w:val="6"/>
    <w:link w:val="2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sz w:val="18"/>
      <w:szCs w:val="18"/>
    </w:rPr>
  </w:style>
  <w:style w:type="paragraph" w:customStyle="1" w:styleId="10">
    <w:name w:val="List Paragraph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5</Pages>
  <Words>242</Words>
  <Characters>1382</Characters>
  <Lines>0</Lines>
  <Paragraphs>0</Paragraphs>
  <TotalTime>9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2014-04-15T01:14:00Z</dcterms:created>
  <dc:creator>Sky123.Org</dc:creator>
  <cp:lastModifiedBy>cici</cp:lastModifiedBy>
  <cp:lastPrinted>2016-12-22T03:27:00Z</cp:lastPrinted>
  <dcterms:modified xsi:type="dcterms:W3CDTF">2023-12-14T02:13:56Z</dcterms:modified>
  <dc:title>会展管理（独立本科段）专业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D881BC70ADE9473F89C1DA958F6CD5A3_12</vt:lpwstr>
  </property>
</Properties>
</file>